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Научно-технический совет СВФУ имени М.К. Аммосова</w:t>
      </w:r>
    </w:p>
    <w:p w:rsidR="00000000" w:rsidDel="00000000" w:rsidP="00000000" w:rsidRDefault="00000000" w:rsidRPr="00000000" w14:paraId="00000002">
      <w:pPr>
        <w:spacing w:after="0" w:line="276" w:lineRule="auto"/>
        <w:ind w:firstLine="709"/>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8"/>
          <w:szCs w:val="28"/>
          <w:rtl w:val="0"/>
        </w:rPr>
        <w:t xml:space="preserve">объявляет конкурс номинаций по итогам 2022 г. </w:t>
      </w:r>
      <w:r w:rsidDel="00000000" w:rsidR="00000000" w:rsidRPr="00000000">
        <w:rPr>
          <w:rtl w:val="0"/>
        </w:rPr>
      </w:r>
    </w:p>
    <w:p w:rsidR="00000000" w:rsidDel="00000000" w:rsidP="00000000" w:rsidRDefault="00000000" w:rsidRPr="00000000" w14:paraId="00000003">
      <w:pPr>
        <w:spacing w:after="0" w:line="276"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 Научно-технического совета СВФУ организуется и проводится с целью повышения активности профессорско-преподавательского состава и студентов университета в достижении научных результатов фундаментального и прикладного характеров. </w:t>
      </w:r>
    </w:p>
    <w:p w:rsidR="00000000" w:rsidDel="00000000" w:rsidP="00000000" w:rsidRDefault="00000000" w:rsidRPr="00000000" w14:paraId="00000005">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Итоги конкурса будут подведены по следующим направлениям: </w:t>
      </w:r>
    </w:p>
    <w:p w:rsidR="00000000" w:rsidDel="00000000" w:rsidP="00000000" w:rsidRDefault="00000000" w:rsidRPr="00000000" w14:paraId="0000000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гуманитарные науки;</w:t>
      </w:r>
    </w:p>
    <w:p w:rsidR="00000000" w:rsidDel="00000000" w:rsidP="00000000" w:rsidRDefault="00000000" w:rsidRPr="00000000" w14:paraId="0000000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естественно-математические науки;</w:t>
      </w:r>
    </w:p>
    <w:p w:rsidR="00000000" w:rsidDel="00000000" w:rsidP="00000000" w:rsidRDefault="00000000" w:rsidRPr="00000000" w14:paraId="0000000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технические науки;</w:t>
      </w:r>
    </w:p>
    <w:p w:rsidR="00000000" w:rsidDel="00000000" w:rsidP="00000000" w:rsidRDefault="00000000" w:rsidRPr="00000000" w14:paraId="0000000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педагогические науки.</w:t>
      </w:r>
    </w:p>
    <w:p w:rsidR="00000000" w:rsidDel="00000000" w:rsidP="00000000" w:rsidRDefault="00000000" w:rsidRPr="00000000" w14:paraId="0000000A">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Конкурсная комиссия:</w:t>
      </w:r>
    </w:p>
    <w:p w:rsidR="00000000" w:rsidDel="00000000" w:rsidP="00000000" w:rsidRDefault="00000000" w:rsidRPr="00000000" w14:paraId="0000000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формирует по каждой номинации группу экспертов из числа членов комиссии;</w:t>
      </w:r>
    </w:p>
    <w:p w:rsidR="00000000" w:rsidDel="00000000" w:rsidP="00000000" w:rsidRDefault="00000000" w:rsidRPr="00000000" w14:paraId="0000000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поручает соответствующим экспертам рассматривать отдельные работы, представленные на конкурс;</w:t>
      </w:r>
    </w:p>
    <w:p w:rsidR="00000000" w:rsidDel="00000000" w:rsidP="00000000" w:rsidRDefault="00000000" w:rsidRPr="00000000" w14:paraId="0000000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дает заключение о научной и научно-технической ценности работ;</w:t>
      </w:r>
    </w:p>
    <w:p w:rsidR="00000000" w:rsidDel="00000000" w:rsidP="00000000" w:rsidRDefault="00000000" w:rsidRPr="00000000" w14:paraId="0000000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направляет при необходимости представленные работы на отзыв в другие научно-исследовательские организации или учреждения;</w:t>
      </w:r>
    </w:p>
    <w:p w:rsidR="00000000" w:rsidDel="00000000" w:rsidP="00000000" w:rsidRDefault="00000000" w:rsidRPr="00000000" w14:paraId="0000000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случае необходимости приглашает на заседание комиссии представителей других вузов, предприятий и организаций.</w:t>
      </w:r>
    </w:p>
    <w:p w:rsidR="00000000" w:rsidDel="00000000" w:rsidP="00000000" w:rsidRDefault="00000000" w:rsidRPr="00000000" w14:paraId="00000010">
      <w:pPr>
        <w:spacing w:after="0" w:line="36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8"/>
          <w:szCs w:val="28"/>
          <w:rtl w:val="0"/>
        </w:rPr>
        <w:t xml:space="preserve">Члены конкурсной комиссии, представившие свои работы на конкурс, не могут участвовать в голосовании при определении работ, рекомендованных к награждению. </w:t>
      </w:r>
      <w:r w:rsidDel="00000000" w:rsidR="00000000" w:rsidRPr="00000000">
        <w:rPr>
          <w:rtl w:val="0"/>
        </w:rPr>
      </w:r>
    </w:p>
    <w:p w:rsidR="00000000" w:rsidDel="00000000" w:rsidP="00000000" w:rsidRDefault="00000000" w:rsidRPr="00000000" w14:paraId="0000001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итогам 2022 года конкурс объявляется по следующим номинациям:</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69" w:right="0" w:hanging="36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«Лучшая научная статья»</w:t>
      </w:r>
      <w:r w:rsidDel="00000000" w:rsidR="00000000" w:rsidRPr="00000000">
        <w:rPr>
          <w:rtl w:val="0"/>
        </w:rPr>
      </w:r>
    </w:p>
    <w:p w:rsidR="00000000" w:rsidDel="00000000" w:rsidP="00000000" w:rsidRDefault="00000000" w:rsidRPr="00000000" w14:paraId="0000001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Научная статья должна строиться на основе научных результатов, освещать достижения современной отечественной и мировой науки, техники, технологии и культуры, проблемные и перспективные вопросы развития конкретной научной дисциплины. На конкурс представляются статьи, проиндексированные в 2022 году с аффилиацией на СВФУ:</w:t>
      </w:r>
    </w:p>
    <w:p w:rsidR="00000000" w:rsidDel="00000000" w:rsidP="00000000" w:rsidRDefault="00000000" w:rsidRPr="00000000" w14:paraId="0000001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Заявка подается автором или от коллектива авторов, не допускается подача более одной заявки от одного сотрудника в одной номинации. Одна статья может быть подана только по одному научному направлению.</w:t>
      </w:r>
    </w:p>
    <w:p w:rsidR="00000000" w:rsidDel="00000000" w:rsidP="00000000" w:rsidRDefault="00000000" w:rsidRPr="00000000" w14:paraId="0000001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В номинации «Лучшая научная статья» учитываются статьи, выполненные штатными сотрудниками СВФУ по основному месту работы и информация о которых размещена и верифицирована ответственными сотрудниками подразделений (ответственные по публикациям) в установленном порядке. </w:t>
      </w:r>
    </w:p>
    <w:p w:rsidR="00000000" w:rsidDel="00000000" w:rsidP="00000000" w:rsidRDefault="00000000" w:rsidRPr="00000000" w14:paraId="0000001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Подаваемая статья должна индексироваться в БД Web of Science, Scopus и/или RSCI. Дополнительно при конкурсном отборе учитываются импакт-фактор журнала и цитируемость автора.</w:t>
      </w:r>
    </w:p>
    <w:p w:rsidR="00000000" w:rsidDel="00000000" w:rsidP="00000000" w:rsidRDefault="00000000" w:rsidRPr="00000000" w14:paraId="0000001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Для подачи заявки необходимо заполнить и приложить:</w:t>
      </w:r>
    </w:p>
    <w:p w:rsidR="00000000" w:rsidDel="00000000" w:rsidP="00000000" w:rsidRDefault="00000000" w:rsidRPr="00000000" w14:paraId="0000001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 Приложение 2, 4, 5 Положения конкурса номинаций НТС;</w:t>
      </w:r>
    </w:p>
    <w:p w:rsidR="00000000" w:rsidDel="00000000" w:rsidP="00000000" w:rsidRDefault="00000000" w:rsidRPr="00000000" w14:paraId="00000019">
      <w:pPr>
        <w:spacing w:after="0" w:line="360" w:lineRule="auto"/>
        <w:ind w:firstLine="709"/>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1.4.2. Скрин из базы данных, информация о научном журнале.</w:t>
      </w:r>
      <w:r w:rsidDel="00000000" w:rsidR="00000000" w:rsidRPr="00000000">
        <w:rPr>
          <w:rtl w:val="0"/>
        </w:rPr>
      </w:r>
    </w:p>
    <w:p w:rsidR="00000000" w:rsidDel="00000000" w:rsidP="00000000" w:rsidRDefault="00000000" w:rsidRPr="00000000" w14:paraId="0000001A">
      <w:pPr>
        <w:spacing w:after="0" w:line="360" w:lineRule="auto"/>
        <w:ind w:firstLine="709"/>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2. «Лучшая научно-просветительская лекция»</w:t>
      </w:r>
      <w:r w:rsidDel="00000000" w:rsidR="00000000" w:rsidRPr="00000000">
        <w:rPr>
          <w:rtl w:val="0"/>
        </w:rPr>
      </w:r>
    </w:p>
    <w:p w:rsidR="00000000" w:rsidDel="00000000" w:rsidP="00000000" w:rsidRDefault="00000000" w:rsidRPr="00000000" w14:paraId="0000001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конкурс принимаются электронные работы (видеозаписи научно-просветительских лекций, вебинаров), опубликованные в 2022 году, всех сотрудников университета, работающих в СВФУ, независимо от возраста, ученой степени или должности:</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подаются индивидуально каждым участником, не допускается подача более одной заявки от одного сотрудника в одной номинации.</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поданные на Конкурс заявки должны иметь подробное обоснование значимости выдвигаемой работы в свободной форме. Одна работа может быть подана только по одному научному направлению. В случае междисциплинарных работ необходимо выбрать наиболее близкую область.</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Предоставляемая конкурсная работа должна быть авторской, т.е. разработанной непосредственно работником или творческими коллективами университета. Материалы лекций, взятые участниками конкурса из третьих источников, авторами которых они не являются, на конкурс не принимаются.</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Конкурсной комиссией не рассматриваются работы,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сделанные исключительно в образовательных целях.</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Для работы конкурсной комиссии требуется наличие полного доступа к электронной версии публикации/проекта. При отсутствии полного доступа (доступности только части глав, видеозаписей и т.д.), работа может быть снята с конкурса.</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Работы оцениваются по следующим критериям:</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Креативность работы;</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Актуальность тематики;</w:t>
      </w:r>
    </w:p>
    <w:p w:rsidR="00000000" w:rsidDel="00000000" w:rsidP="00000000" w:rsidRDefault="00000000" w:rsidRPr="00000000" w14:paraId="0000002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Значимость работы;</w:t>
      </w:r>
    </w:p>
    <w:p w:rsidR="00000000" w:rsidDel="00000000" w:rsidP="00000000" w:rsidRDefault="00000000" w:rsidRPr="00000000" w14:paraId="0000002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Доступность для широкой аудитории;</w:t>
      </w:r>
    </w:p>
    <w:p w:rsidR="00000000" w:rsidDel="00000000" w:rsidP="00000000" w:rsidRDefault="00000000" w:rsidRPr="00000000" w14:paraId="0000002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Качество исполнения.</w:t>
      </w:r>
    </w:p>
    <w:p w:rsidR="00000000" w:rsidDel="00000000" w:rsidP="00000000" w:rsidRDefault="00000000" w:rsidRPr="00000000" w14:paraId="0000002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2.7. Для подачи заявки необходимо заполнить и приложить:</w:t>
      </w:r>
    </w:p>
    <w:p w:rsidR="00000000" w:rsidDel="00000000" w:rsidP="00000000" w:rsidRDefault="00000000" w:rsidRPr="00000000" w14:paraId="0000002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2.7.1. Обоснование значимости выдвигаемой работы в свободной форме;</w:t>
      </w:r>
    </w:p>
    <w:p w:rsidR="00000000" w:rsidDel="00000000" w:rsidP="00000000" w:rsidRDefault="00000000" w:rsidRPr="00000000" w14:paraId="0000002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2.7.2. Приложение 2, 4, 5 Положения конкурса номинаций НТС;</w:t>
      </w:r>
    </w:p>
    <w:p w:rsidR="00000000" w:rsidDel="00000000" w:rsidP="00000000" w:rsidRDefault="00000000" w:rsidRPr="00000000" w14:paraId="0000002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2.7.3. Видеоматериал (на электронную почту </w:t>
      </w:r>
      <w:hyperlink r:id="rId7">
        <w:r w:rsidDel="00000000" w:rsidR="00000000" w:rsidRPr="00000000">
          <w:rPr>
            <w:rFonts w:ascii="Times New Roman" w:cs="Times New Roman" w:eastAsia="Times New Roman" w:hAnsi="Times New Roman"/>
            <w:color w:val="0563c1"/>
            <w:sz w:val="28"/>
            <w:szCs w:val="28"/>
            <w:u w:val="single"/>
            <w:rtl w:val="0"/>
          </w:rPr>
          <w:t xml:space="preserve">me.marine@mail.ru</w:t>
        </w:r>
      </w:hyperlink>
      <w:r w:rsidDel="00000000" w:rsidR="00000000" w:rsidRPr="00000000">
        <w:rPr>
          <w:rFonts w:ascii="Times New Roman" w:cs="Times New Roman" w:eastAsia="Times New Roman" w:hAnsi="Times New Roman"/>
          <w:sz w:val="28"/>
          <w:szCs w:val="28"/>
          <w:rtl w:val="0"/>
        </w:rPr>
        <w:t xml:space="preserve">, на флешке). </w:t>
      </w:r>
    </w:p>
    <w:p w:rsidR="00000000" w:rsidDel="00000000" w:rsidP="00000000" w:rsidRDefault="00000000" w:rsidRPr="00000000" w14:paraId="0000002B">
      <w:pPr>
        <w:spacing w:after="0" w:line="360" w:lineRule="auto"/>
        <w:ind w:firstLine="709"/>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rtl w:val="0"/>
        </w:rPr>
        <w:t xml:space="preserve">3. </w:t>
      </w:r>
      <w:r w:rsidDel="00000000" w:rsidR="00000000" w:rsidRPr="00000000">
        <w:rPr>
          <w:rFonts w:ascii="Times New Roman" w:cs="Times New Roman" w:eastAsia="Times New Roman" w:hAnsi="Times New Roman"/>
          <w:b w:val="1"/>
          <w:sz w:val="28"/>
          <w:szCs w:val="28"/>
          <w:u w:val="single"/>
          <w:rtl w:val="0"/>
        </w:rPr>
        <w:t xml:space="preserve">«Лучшая научно-исследовательская работа студентов»</w:t>
      </w:r>
      <w:r w:rsidDel="00000000" w:rsidR="00000000" w:rsidRPr="00000000">
        <w:rPr>
          <w:rtl w:val="0"/>
        </w:rPr>
      </w:r>
    </w:p>
    <w:p w:rsidR="00000000" w:rsidDel="00000000" w:rsidP="00000000" w:rsidRDefault="00000000" w:rsidRPr="00000000" w14:paraId="0000002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конкурс представляются научно-исследовательские работы студентов, выполненные в течение года, предшествующие году проведения конкурса.</w:t>
      </w:r>
    </w:p>
    <w:p w:rsidR="00000000" w:rsidDel="00000000" w:rsidP="00000000" w:rsidRDefault="00000000" w:rsidRPr="00000000" w14:paraId="0000002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В конкурсе принимают участие студенты, обучающиеся по программам бакалавриата и магистратуры. </w:t>
      </w:r>
    </w:p>
    <w:p w:rsidR="00000000" w:rsidDel="00000000" w:rsidP="00000000" w:rsidRDefault="00000000" w:rsidRPr="00000000" w14:paraId="0000002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Выполненные, законченные научно-исследовательские работы представляются на конкурс студентами самостоятельно, под руководством научных руководителей.</w:t>
      </w:r>
    </w:p>
    <w:p w:rsidR="00000000" w:rsidDel="00000000" w:rsidP="00000000" w:rsidRDefault="00000000" w:rsidRPr="00000000" w14:paraId="0000002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На конкурс могут приниматься научно-исследовательские работы студентов, выполненные индивидуально или авторским коллективом (не более трех человек), отвечающие конкурсным требованиям.</w:t>
      </w:r>
    </w:p>
    <w:p w:rsidR="00000000" w:rsidDel="00000000" w:rsidP="00000000" w:rsidRDefault="00000000" w:rsidRPr="00000000" w14:paraId="0000003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Основные критерии оценки, предъявляемые к студенческим научно-исследовательским работам:</w:t>
      </w:r>
    </w:p>
    <w:p w:rsidR="00000000" w:rsidDel="00000000" w:rsidP="00000000" w:rsidRDefault="00000000" w:rsidRPr="00000000" w14:paraId="0000003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3.4.1. Актуальность темы исследования, оригинальность развития мысли (определение степени важности работы для решения конкретной проблемы);</w:t>
      </w:r>
    </w:p>
    <w:p w:rsidR="00000000" w:rsidDel="00000000" w:rsidP="00000000" w:rsidRDefault="00000000" w:rsidRPr="00000000" w14:paraId="0000003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3.4.2. Характеристика объекта, предмета и методов исследования, обоснованность научной новизны;</w:t>
      </w:r>
    </w:p>
    <w:p w:rsidR="00000000" w:rsidDel="00000000" w:rsidP="00000000" w:rsidRDefault="00000000" w:rsidRPr="00000000" w14:paraId="0000003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3.4.3. Полнота, адекватность, актуальность источников, полнота и адекватность их использования;</w:t>
      </w:r>
    </w:p>
    <w:p w:rsidR="00000000" w:rsidDel="00000000" w:rsidP="00000000" w:rsidRDefault="00000000" w:rsidRPr="00000000" w14:paraId="0000003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3.4.4. Последовательность и ясность изложения материала, обоснованность выводов и предложений;</w:t>
      </w:r>
    </w:p>
    <w:p w:rsidR="00000000" w:rsidDel="00000000" w:rsidP="00000000" w:rsidRDefault="00000000" w:rsidRPr="00000000" w14:paraId="0000003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3.4.5. Стилистическая грамотность и правильность оформления работы;</w:t>
      </w:r>
    </w:p>
    <w:p w:rsidR="00000000" w:rsidDel="00000000" w:rsidP="00000000" w:rsidRDefault="00000000" w:rsidRPr="00000000" w14:paraId="0000003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3.4.6. Творческий характер работы, самостоятельность подхода к исследованию, результативное участие в научных конференциях, семинарах, конкурсах научных программ и грантов.</w:t>
      </w:r>
    </w:p>
    <w:p w:rsidR="00000000" w:rsidDel="00000000" w:rsidP="00000000" w:rsidRDefault="00000000" w:rsidRPr="00000000" w14:paraId="0000003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критерий оценивается по 5-ти бальной системе.</w:t>
      </w:r>
    </w:p>
    <w:p w:rsidR="00000000" w:rsidDel="00000000" w:rsidP="00000000" w:rsidRDefault="00000000" w:rsidRPr="00000000" w14:paraId="0000003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Представление научно-исследовательских работ студентов в конкурсе сопровождается следующими документами:</w:t>
      </w:r>
    </w:p>
    <w:p w:rsidR="00000000" w:rsidDel="00000000" w:rsidP="00000000" w:rsidRDefault="00000000" w:rsidRPr="00000000" w14:paraId="0000003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аннотация научной работы (Приложение 1);</w:t>
      </w:r>
    </w:p>
    <w:p w:rsidR="00000000" w:rsidDel="00000000" w:rsidP="00000000" w:rsidRDefault="00000000" w:rsidRPr="00000000" w14:paraId="0000003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отзыв научного руководителя (в произвольной форме);</w:t>
      </w:r>
    </w:p>
    <w:p w:rsidR="00000000" w:rsidDel="00000000" w:rsidP="00000000" w:rsidRDefault="00000000" w:rsidRPr="00000000" w14:paraId="0000003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сведения об авторе и научном руководителе (Приложение 2);</w:t>
      </w:r>
    </w:p>
    <w:p w:rsidR="00000000" w:rsidDel="00000000" w:rsidP="00000000" w:rsidRDefault="00000000" w:rsidRPr="00000000" w14:paraId="0000003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выписка из протокола заседания подразделения с решением о выдвижении работы на конкурс (Приложение 3).</w:t>
      </w:r>
    </w:p>
    <w:p w:rsidR="00000000" w:rsidDel="00000000" w:rsidP="00000000" w:rsidRDefault="00000000" w:rsidRPr="00000000" w14:paraId="0000003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дипломы, грамоты, присужденные по итогам участия студента (студентов) в научных конференциях, симпозиумах, форумах семинарах по представленной теме НИРС.</w:t>
      </w:r>
    </w:p>
    <w:p w:rsidR="00000000" w:rsidDel="00000000" w:rsidP="00000000" w:rsidRDefault="00000000" w:rsidRPr="00000000" w14:paraId="0000003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Конкурсная научно-исследовательская работа студента должна быть выполнена на русском языке. Работа представляется в комиссию в отпечатанном и сброшюрованном виде в папке скоросшивателе. Объем работы не должен превышать: 14 страниц (для гуманитарных и педагогических наук), 8 страниц (для технических и естественно-математичсеких наук). Текст работы оформляется на листах формата А-4, шрифтом Тimes New Roman, кегль 12. Поля: верхнее и нижнее – по 15 мм, левое – 20 мм, правое – 15 мм. Междустрочный интервал – одинарный.</w:t>
      </w:r>
    </w:p>
    <w:p w:rsidR="00000000" w:rsidDel="00000000" w:rsidP="00000000" w:rsidRDefault="00000000" w:rsidRPr="00000000" w14:paraId="0000003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Структурными элементами работы являются: титульный лист; содержание/план; введение; основная часть (главы, параграфы, разделы); заключение (выводы и предложения); список использованной литературы; приложения (если имеются).</w:t>
      </w:r>
    </w:p>
    <w:p w:rsidR="00000000" w:rsidDel="00000000" w:rsidP="00000000" w:rsidRDefault="00000000" w:rsidRPr="00000000" w14:paraId="00000040">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Необходимые документы для подачи заявки в номинации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«Лучшая научная статья»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«Лучшая научно-просветительская лекция»</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2</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ВЫПИСКА</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из протокола заседания кафедры</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кафедры, института (факультета))</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от__________________________ 2022 г.</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Слушали: ________________________________________________________________</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(должность, Ф.И.О.)</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сообщение о представлении на первый тур Конкурса НТС СВФУ научно-исследовательской работы____________________________________________</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(название работы)</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Решили:</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Выдвинуть работу на институтский (факультетский) конкурс по номинации:</w:t>
      </w:r>
    </w:p>
    <w:p w:rsidR="00000000" w:rsidDel="00000000" w:rsidP="00000000" w:rsidRDefault="00000000" w:rsidRPr="00000000" w14:paraId="00000070">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(название номинации)</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Заведующий кафедрой: __________________________________________</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(подпись, Ф.И.О., дата)</w:t>
      </w:r>
    </w:p>
    <w:p w:rsidR="00000000" w:rsidDel="00000000" w:rsidP="00000000" w:rsidRDefault="00000000" w:rsidRPr="00000000" w14:paraId="00000078">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4</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СВЕДЕНИЯ ОБ АВТОРЕ</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Номинация Конкурса НТС СВФУ:_____________________________</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Название НИР:______________________________________________</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ФИО:______________________________________________________</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рождения: _____________________________________________</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работы: ______________________________________________</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Должность: ________________________________________________</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Ученая степень: ____________________________________________</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Ученое звание: ____________________________________________</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Контактный телефон: _______________________________________</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Домашний адрес: ___________________________________________</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E-mail: _____________________________________________________</w:t>
      </w:r>
    </w:p>
    <w:p w:rsidR="00000000" w:rsidDel="00000000" w:rsidP="00000000" w:rsidRDefault="00000000" w:rsidRPr="00000000" w14:paraId="0000008B">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5</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АНКЕТА</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номинации_________________________________________________</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(название номинации)</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Название работы: ______________________________________________</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(название работы)</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Автор (авторы): ________________________________________________</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(ФИО, должность)</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Краткое описание работы:______________________________________</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кратком описании необходимо изложить сведения по критериям номинации. Например, в номинации «Лучшая научная статья» излагаются сведения по следующим критериям: актуальность; научная новизна; практическая значимость, в т.ч. вклад в развитие системы образования; издательство.</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Необходимые документы для подачи заявки в номинации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«Лучшая научно-исследовательская работа студентов»</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Аннотация научно-исследовательской работы</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Название работы:____________________________________________</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Факультет, кафедра:__________________________________________</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Дисциплина:________________________________________________</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Объем работы: ___ стр.</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Количество приложений: ___ стр.</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Количество графиков/ иллюстраций: ___ ед.</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Количество таблиц: ___ ед.</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Количество источников _____________</w:t>
        <w:tab/>
        <w:t xml:space="preserve">литературы:</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Подписи:</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Автор (авторы) _______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Научный руководитель __________</w:t>
      </w:r>
    </w:p>
    <w:p w:rsidR="00000000" w:rsidDel="00000000" w:rsidP="00000000" w:rsidRDefault="00000000" w:rsidRPr="00000000" w14:paraId="000000B1">
      <w:pPr>
        <w:keepNext w:val="0"/>
        <w:keepLines w:val="0"/>
        <w:pageBreakBefore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2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Сведения об авторе и научном руководителе работы,</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представленной на конкурс</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Автор (авторы) научной работы:</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Фамилия, имя, отчество </w:t>
        <w:tab/>
        <w:tab/>
        <w:tab/>
        <w:tab/>
        <w:tab/>
        <w:tab/>
        <w:tab/>
        <w:tab/>
        <w:tab/>
        <w:tab/>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Курс</w:t>
        <w:tab/>
        <w:tab/>
        <w:tab/>
        <w:tab/>
        <w:tab/>
        <w:tab/>
        <w:tab/>
        <w:tab/>
        <w:tab/>
        <w:tab/>
        <w:tab/>
        <w:tab/>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Группа</w:t>
        <w:tab/>
        <w:tab/>
        <w:tab/>
        <w:tab/>
        <w:tab/>
        <w:tab/>
        <w:tab/>
        <w:tab/>
        <w:tab/>
        <w:tab/>
        <w:tab/>
        <w:tab/>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Контактная информация (почтовый адрес, электронный адрес, телефон) </w:t>
        <w:tab/>
        <w:tab/>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ab/>
        <w:tab/>
        <w:tab/>
        <w:tab/>
        <w:tab/>
        <w:tab/>
        <w:tab/>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Научный руководитель:</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фамилия, имя, отчество </w:t>
        <w:tab/>
        <w:tab/>
        <w:tab/>
        <w:tab/>
        <w:tab/>
        <w:tab/>
        <w:tab/>
        <w:tab/>
        <w:tab/>
        <w:tab/>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занимаемая должность </w:t>
        <w:tab/>
        <w:tab/>
        <w:tab/>
        <w:tab/>
        <w:tab/>
        <w:tab/>
        <w:tab/>
        <w:tab/>
        <w:tab/>
        <w:tab/>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ученая степень, ученое звание </w:t>
        <w:tab/>
        <w:tab/>
        <w:tab/>
        <w:tab/>
        <w:tab/>
        <w:tab/>
        <w:tab/>
        <w:tab/>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основное место работы (название кафедры)</w:t>
        <w:tab/>
        <w:tab/>
        <w:tab/>
        <w:tab/>
        <w:tab/>
        <w:tab/>
        <w:tab/>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контактная информация (почтовый адрес, электронный адрес, телефон) </w:t>
        <w:tab/>
        <w:tab/>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ab/>
        <w:tab/>
        <w:tab/>
        <w:tab/>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Автор научной работы</w:t>
        <w:tab/>
        <w:t xml:space="preserve">______________</w:t>
        <w:tab/>
        <w:t xml:space="preserve">               _______________</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инициалы)</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Научный руководитель</w:t>
        <w:tab/>
        <w:t xml:space="preserve">______________</w:t>
        <w:tab/>
        <w:tab/>
        <w:t xml:space="preserve">    ________________</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инициалы)</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 _____________ 20__г </w:t>
      </w:r>
    </w:p>
    <w:p w:rsidR="00000000" w:rsidDel="00000000" w:rsidP="00000000" w:rsidRDefault="00000000" w:rsidRPr="00000000" w14:paraId="000000C9">
      <w:pPr>
        <w:keepNext w:val="0"/>
        <w:keepLines w:val="0"/>
        <w:pageBreakBefore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3</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№_____</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заседания кафедры</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«__»_______20__г.</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заседании кафедры присутствовало _________ человек.</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Были  рассмотрены работы студентов:</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рассмотренных работ кафедра ______________________ выдвигает к участию в    конкурсе на лучшую научно-исследовательскую работу студентов СВФУ следующие работы:</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Автор, название работы___________________________________</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Автор, название работы___________________________________</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Автор, название работы___________________________________</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Заведующий кафедрой _____________</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Число,  подпись</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1"/>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4</w:t>
      </w:r>
    </w:p>
    <w:p w:rsidR="00000000" w:rsidDel="00000000" w:rsidP="00000000" w:rsidRDefault="00000000" w:rsidRPr="00000000" w14:paraId="000000DD">
      <w:pPr>
        <w:shd w:fill="ffffff" w:val="clear"/>
        <w:tabs>
          <w:tab w:val="left" w:pos="4673"/>
        </w:tabs>
        <w:spacing w:after="280" w:before="280" w:line="276"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E">
      <w:pPr>
        <w:shd w:fill="ffffff" w:val="clear"/>
        <w:tabs>
          <w:tab w:val="left" w:pos="1310"/>
        </w:tabs>
        <w:spacing w:after="200" w:line="276"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ПРОТОКОЛ   №_____ заседания </w:t>
      </w:r>
      <w:r w:rsidDel="00000000" w:rsidR="00000000" w:rsidRPr="00000000">
        <w:rPr>
          <w:rFonts w:ascii="Times New Roman" w:cs="Times New Roman" w:eastAsia="Times New Roman" w:hAnsi="Times New Roman"/>
          <w:b w:val="1"/>
          <w:sz w:val="28"/>
          <w:szCs w:val="28"/>
          <w:rtl w:val="0"/>
        </w:rPr>
        <w:t xml:space="preserve">комиссии</w:t>
      </w:r>
      <w:r w:rsidDel="00000000" w:rsidR="00000000" w:rsidRPr="00000000">
        <w:rPr>
          <w:rtl w:val="0"/>
        </w:rPr>
      </w:r>
    </w:p>
    <w:p w:rsidR="00000000" w:rsidDel="00000000" w:rsidP="00000000" w:rsidRDefault="00000000" w:rsidRPr="00000000" w14:paraId="000000DF">
      <w:pPr>
        <w:shd w:fill="ffffff" w:val="clear"/>
        <w:tabs>
          <w:tab w:val="left" w:pos="1310"/>
        </w:tabs>
        <w:spacing w:after="200" w:line="276"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от «__» ______ 200_ г.</w:t>
      </w:r>
      <w:r w:rsidDel="00000000" w:rsidR="00000000" w:rsidRPr="00000000">
        <w:rPr>
          <w:rtl w:val="0"/>
        </w:rPr>
      </w:r>
    </w:p>
    <w:p w:rsidR="00000000" w:rsidDel="00000000" w:rsidP="00000000" w:rsidRDefault="00000000" w:rsidRPr="00000000" w14:paraId="000000E0">
      <w:pPr>
        <w:shd w:fill="ffffff" w:val="clear"/>
        <w:spacing w:after="200" w:line="276" w:lineRule="auto"/>
        <w:ind w:left="181" w:firstLine="527.00000000000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Комиссия рассмотрела представленные научно-исследовательские работы студентов и оценила их в соответствии с критериями по пятибалльной шкале:</w:t>
      </w:r>
      <w:r w:rsidDel="00000000" w:rsidR="00000000" w:rsidRPr="00000000">
        <w:rPr>
          <w:rtl w:val="0"/>
        </w:rPr>
      </w:r>
    </w:p>
    <w:p w:rsidR="00000000" w:rsidDel="00000000" w:rsidP="00000000" w:rsidRDefault="00000000" w:rsidRPr="00000000" w14:paraId="000000E1">
      <w:pPr>
        <w:shd w:fill="ffffff" w:val="clear"/>
        <w:spacing w:after="200" w:line="276" w:lineRule="auto"/>
        <w:ind w:left="180" w:firstLine="52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1 – актуальность темы исследования, оригинальность развития мысли (определение степени важности работы для решения конкретной проблемы);</w:t>
      </w:r>
      <w:r w:rsidDel="00000000" w:rsidR="00000000" w:rsidRPr="00000000">
        <w:rPr>
          <w:rtl w:val="0"/>
        </w:rPr>
      </w:r>
    </w:p>
    <w:p w:rsidR="00000000" w:rsidDel="00000000" w:rsidP="00000000" w:rsidRDefault="00000000" w:rsidRPr="00000000" w14:paraId="000000E2">
      <w:pPr>
        <w:shd w:fill="ffffff" w:val="clear"/>
        <w:spacing w:after="200" w:line="276" w:lineRule="auto"/>
        <w:ind w:left="180" w:firstLine="52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 – характеристика объекта, предмета и методов исследования, обоснованность научной новизны;</w:t>
      </w:r>
      <w:r w:rsidDel="00000000" w:rsidR="00000000" w:rsidRPr="00000000">
        <w:rPr>
          <w:rtl w:val="0"/>
        </w:rPr>
      </w:r>
    </w:p>
    <w:p w:rsidR="00000000" w:rsidDel="00000000" w:rsidP="00000000" w:rsidRDefault="00000000" w:rsidRPr="00000000" w14:paraId="000000E3">
      <w:pPr>
        <w:shd w:fill="ffffff" w:val="clear"/>
        <w:spacing w:after="200" w:line="276" w:lineRule="auto"/>
        <w:ind w:left="180" w:firstLine="52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3 – полнота, адекватность, актуальность источников, полнота и адекватность их использования;</w:t>
      </w:r>
      <w:r w:rsidDel="00000000" w:rsidR="00000000" w:rsidRPr="00000000">
        <w:rPr>
          <w:rtl w:val="0"/>
        </w:rPr>
      </w:r>
    </w:p>
    <w:p w:rsidR="00000000" w:rsidDel="00000000" w:rsidP="00000000" w:rsidRDefault="00000000" w:rsidRPr="00000000" w14:paraId="000000E4">
      <w:pPr>
        <w:shd w:fill="ffffff" w:val="clear"/>
        <w:spacing w:after="200" w:line="276" w:lineRule="auto"/>
        <w:ind w:left="180" w:firstLine="52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4 – последовательность и ясность изложения материала, обоснованность выводов и предложений;</w:t>
      </w:r>
      <w:r w:rsidDel="00000000" w:rsidR="00000000" w:rsidRPr="00000000">
        <w:rPr>
          <w:rtl w:val="0"/>
        </w:rPr>
      </w:r>
    </w:p>
    <w:p w:rsidR="00000000" w:rsidDel="00000000" w:rsidP="00000000" w:rsidRDefault="00000000" w:rsidRPr="00000000" w14:paraId="000000E5">
      <w:pPr>
        <w:shd w:fill="ffffff" w:val="clear"/>
        <w:spacing w:after="200" w:line="276" w:lineRule="auto"/>
        <w:ind w:left="180" w:firstLine="52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 стилистическая  грамотность и правильность оформления работы;</w:t>
      </w:r>
    </w:p>
    <w:p w:rsidR="00000000" w:rsidDel="00000000" w:rsidP="00000000" w:rsidRDefault="00000000" w:rsidRPr="00000000" w14:paraId="000000E6">
      <w:pPr>
        <w:shd w:fill="ffffff" w:val="clear"/>
        <w:ind w:left="28" w:right="23" w:firstLine="6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  дипломы, грамоты, присужденные по итогам участия студента (студентов) в научных конференциях, симпозиумах, форумах семинарах по представленной теме НИРС. </w:t>
      </w:r>
    </w:p>
    <w:tbl>
      <w:tblPr>
        <w:tblStyle w:val="Table1"/>
        <w:tblW w:w="100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1619"/>
        <w:gridCol w:w="1777"/>
        <w:gridCol w:w="1134"/>
        <w:gridCol w:w="405"/>
        <w:gridCol w:w="405"/>
        <w:gridCol w:w="405"/>
        <w:gridCol w:w="405"/>
        <w:gridCol w:w="405"/>
        <w:gridCol w:w="405"/>
        <w:gridCol w:w="405"/>
        <w:gridCol w:w="992"/>
        <w:gridCol w:w="1134"/>
        <w:tblGridChange w:id="0">
          <w:tblGrid>
            <w:gridCol w:w="540"/>
            <w:gridCol w:w="1619"/>
            <w:gridCol w:w="1777"/>
            <w:gridCol w:w="1134"/>
            <w:gridCol w:w="405"/>
            <w:gridCol w:w="405"/>
            <w:gridCol w:w="405"/>
            <w:gridCol w:w="405"/>
            <w:gridCol w:w="405"/>
            <w:gridCol w:w="405"/>
            <w:gridCol w:w="405"/>
            <w:gridCol w:w="992"/>
            <w:gridCol w:w="1134"/>
          </w:tblGrid>
        </w:tblGridChange>
      </w:tblGrid>
      <w:tr>
        <w:trPr>
          <w:cantSplit w:val="1"/>
          <w:trHeight w:val="472" w:hRule="atLeast"/>
          <w:tblHeader w:val="0"/>
        </w:trPr>
        <w:tc>
          <w:tcPr>
            <w:vMerge w:val="restart"/>
            <w:vAlign w:val="center"/>
          </w:tcPr>
          <w:p w:rsidR="00000000" w:rsidDel="00000000" w:rsidP="00000000" w:rsidRDefault="00000000" w:rsidRPr="00000000" w14:paraId="000000E7">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п/п</w:t>
            </w:r>
          </w:p>
        </w:tc>
        <w:tc>
          <w:tcPr>
            <w:vMerge w:val="restart"/>
            <w:vAlign w:val="center"/>
          </w:tcPr>
          <w:p w:rsidR="00000000" w:rsidDel="00000000" w:rsidP="00000000" w:rsidRDefault="00000000" w:rsidRPr="00000000" w14:paraId="000000E8">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Направление </w:t>
            </w:r>
          </w:p>
        </w:tc>
        <w:tc>
          <w:tcPr>
            <w:vMerge w:val="restart"/>
            <w:vAlign w:val="center"/>
          </w:tcPr>
          <w:p w:rsidR="00000000" w:rsidDel="00000000" w:rsidP="00000000" w:rsidRDefault="00000000" w:rsidRPr="00000000" w14:paraId="000000E9">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работы</w:t>
            </w:r>
          </w:p>
        </w:tc>
        <w:tc>
          <w:tcPr>
            <w:vMerge w:val="restart"/>
            <w:vAlign w:val="center"/>
          </w:tcPr>
          <w:p w:rsidR="00000000" w:rsidDel="00000000" w:rsidP="00000000" w:rsidRDefault="00000000" w:rsidRPr="00000000" w14:paraId="000000EA">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Эксперт</w:t>
            </w:r>
          </w:p>
        </w:tc>
        <w:tc>
          <w:tcPr>
            <w:gridSpan w:val="7"/>
            <w:vAlign w:val="center"/>
          </w:tcPr>
          <w:p w:rsidR="00000000" w:rsidDel="00000000" w:rsidP="00000000" w:rsidRDefault="00000000" w:rsidRPr="00000000" w14:paraId="000000E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Параметры оценки (баллы от 1 до 10)</w:t>
            </w:r>
          </w:p>
        </w:tc>
        <w:tc>
          <w:tcPr>
            <w:vAlign w:val="center"/>
          </w:tcPr>
          <w:p w:rsidR="00000000" w:rsidDel="00000000" w:rsidP="00000000" w:rsidRDefault="00000000" w:rsidRPr="00000000" w14:paraId="000000F2">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Сумма баллов</w:t>
            </w:r>
          </w:p>
        </w:tc>
        <w:tc>
          <w:tcPr>
            <w:vAlign w:val="center"/>
          </w:tcPr>
          <w:p w:rsidR="00000000" w:rsidDel="00000000" w:rsidP="00000000" w:rsidRDefault="00000000" w:rsidRPr="00000000" w14:paraId="000000F3">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Средний балл</w:t>
            </w:r>
          </w:p>
        </w:tc>
      </w:tr>
      <w:tr>
        <w:trPr>
          <w:cantSplit w:val="1"/>
          <w:trHeight w:val="271" w:hRule="atLeast"/>
          <w:tblHeader w:val="0"/>
        </w:trPr>
        <w:tc>
          <w:tcPr>
            <w:vMerge w:val="continue"/>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F8">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p w:rsidR="00000000" w:rsidDel="00000000" w:rsidP="00000000" w:rsidRDefault="00000000" w:rsidRPr="00000000" w14:paraId="000000F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0FA">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p w:rsidR="00000000" w:rsidDel="00000000" w:rsidP="00000000" w:rsidRDefault="00000000" w:rsidRPr="00000000" w14:paraId="000000FB">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p w:rsidR="00000000" w:rsidDel="00000000" w:rsidP="00000000" w:rsidRDefault="00000000" w:rsidRPr="00000000" w14:paraId="000000FC">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p w:rsidR="00000000" w:rsidDel="00000000" w:rsidP="00000000" w:rsidRDefault="00000000" w:rsidRPr="00000000" w14:paraId="000000F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p w:rsidR="00000000" w:rsidDel="00000000" w:rsidP="00000000" w:rsidRDefault="00000000" w:rsidRPr="00000000" w14:paraId="000000FE">
            <w:pPr>
              <w:spacing w:line="276" w:lineRule="auto"/>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FF">
            <w:pPr>
              <w:spacing w:line="276" w:lineRule="auto"/>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00">
            <w:pPr>
              <w:spacing w:line="276"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1"/>
          <w:trHeight w:val="334" w:hRule="atLeast"/>
          <w:tblHeader w:val="0"/>
        </w:trPr>
        <w:tc>
          <w:tcPr>
            <w:vMerge w:val="restart"/>
            <w:vAlign w:val="center"/>
          </w:tcPr>
          <w:p w:rsidR="00000000" w:rsidDel="00000000" w:rsidP="00000000" w:rsidRDefault="00000000" w:rsidRPr="00000000" w14:paraId="00000101">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Merge w:val="restart"/>
            <w:vAlign w:val="center"/>
          </w:tcPr>
          <w:p w:rsidR="00000000" w:rsidDel="00000000" w:rsidP="00000000" w:rsidRDefault="00000000" w:rsidRPr="00000000" w14:paraId="00000102">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vMerge w:val="restart"/>
            <w:vAlign w:val="center"/>
          </w:tcPr>
          <w:p w:rsidR="00000000" w:rsidDel="00000000" w:rsidP="00000000" w:rsidRDefault="00000000" w:rsidRPr="00000000" w14:paraId="00000103">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04">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05">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6">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7">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8">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9">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A">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0B">
            <w:pPr>
              <w:spacing w:line="276"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0C">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vMerge w:val="restart"/>
            <w:vAlign w:val="center"/>
          </w:tcPr>
          <w:p w:rsidR="00000000" w:rsidDel="00000000" w:rsidP="00000000" w:rsidRDefault="00000000" w:rsidRPr="00000000" w14:paraId="0000010D">
            <w:pPr>
              <w:spacing w:line="276" w:lineRule="auto"/>
              <w:jc w:val="center"/>
              <w:rPr>
                <w:rFonts w:ascii="Times New Roman" w:cs="Times New Roman" w:eastAsia="Times New Roman" w:hAnsi="Times New Roman"/>
                <w:sz w:val="24"/>
                <w:szCs w:val="24"/>
              </w:rPr>
            </w:pPr>
            <w:r w:rsidDel="00000000" w:rsidR="00000000" w:rsidRPr="00000000">
              <w:rPr>
                <w:rtl w:val="0"/>
              </w:rPr>
            </w:r>
          </w:p>
        </w:tc>
      </w:tr>
      <w:tr>
        <w:trPr>
          <w:cantSplit w:val="1"/>
          <w:trHeight w:val="480" w:hRule="atLeast"/>
          <w:tblHeader w:val="0"/>
        </w:trPr>
        <w:tc>
          <w:tcPr>
            <w:vMerge w:val="continue"/>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11">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12">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3">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4">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5">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6">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7">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8">
            <w:pPr>
              <w:spacing w:line="276"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19">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1"/>
          <w:trHeight w:val="234" w:hRule="atLeast"/>
          <w:tblHeader w:val="0"/>
        </w:trPr>
        <w:tc>
          <w:tcPr>
            <w:vMerge w:val="continue"/>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1E">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1F">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0">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1">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2">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3">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4">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5">
            <w:pPr>
              <w:spacing w:line="276"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26">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1"/>
          <w:trHeight w:val="480" w:hRule="atLeast"/>
          <w:tblHeader w:val="0"/>
        </w:trPr>
        <w:tc>
          <w:tcPr>
            <w:vMerge w:val="restart"/>
            <w:vAlign w:val="center"/>
          </w:tcPr>
          <w:p w:rsidR="00000000" w:rsidDel="00000000" w:rsidP="00000000" w:rsidRDefault="00000000" w:rsidRPr="00000000" w14:paraId="00000128">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Merge w:val="restart"/>
            <w:vAlign w:val="center"/>
          </w:tcPr>
          <w:p w:rsidR="00000000" w:rsidDel="00000000" w:rsidP="00000000" w:rsidRDefault="00000000" w:rsidRPr="00000000" w14:paraId="00000129">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vMerge w:val="restart"/>
            <w:vAlign w:val="center"/>
          </w:tcPr>
          <w:p w:rsidR="00000000" w:rsidDel="00000000" w:rsidP="00000000" w:rsidRDefault="00000000" w:rsidRPr="00000000" w14:paraId="0000012A">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2B">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2C">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D">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E">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F">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0">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1">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2">
            <w:pPr>
              <w:spacing w:line="276"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33">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vMerge w:val="restart"/>
            <w:vAlign w:val="center"/>
          </w:tcPr>
          <w:p w:rsidR="00000000" w:rsidDel="00000000" w:rsidP="00000000" w:rsidRDefault="00000000" w:rsidRPr="00000000" w14:paraId="00000134">
            <w:pPr>
              <w:spacing w:line="276" w:lineRule="auto"/>
              <w:jc w:val="center"/>
              <w:rPr>
                <w:rFonts w:ascii="Times New Roman" w:cs="Times New Roman" w:eastAsia="Times New Roman" w:hAnsi="Times New Roman"/>
                <w:sz w:val="24"/>
                <w:szCs w:val="24"/>
              </w:rPr>
            </w:pPr>
            <w:r w:rsidDel="00000000" w:rsidR="00000000" w:rsidRPr="00000000">
              <w:rPr>
                <w:rtl w:val="0"/>
              </w:rPr>
            </w:r>
          </w:p>
        </w:tc>
      </w:tr>
      <w:tr>
        <w:trPr>
          <w:cantSplit w:val="1"/>
          <w:trHeight w:val="480" w:hRule="atLeast"/>
          <w:tblHeader w:val="0"/>
        </w:trPr>
        <w:tc>
          <w:tcPr>
            <w:vMerge w:val="continue"/>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38">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39">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A">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B">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C">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D">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E">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F">
            <w:pPr>
              <w:spacing w:line="276"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40">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1"/>
          <w:trHeight w:val="313" w:hRule="atLeast"/>
          <w:tblHeader w:val="0"/>
        </w:trPr>
        <w:tc>
          <w:tcPr>
            <w:vMerge w:val="continue"/>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45">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46">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7">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8">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9">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A">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B">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C">
            <w:pPr>
              <w:spacing w:line="276"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4D">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1"/>
          <w:trHeight w:val="391" w:hRule="atLeast"/>
          <w:tblHeader w:val="0"/>
        </w:trPr>
        <w:tc>
          <w:tcPr>
            <w:vMerge w:val="restart"/>
            <w:vAlign w:val="center"/>
          </w:tcPr>
          <w:p w:rsidR="00000000" w:rsidDel="00000000" w:rsidP="00000000" w:rsidRDefault="00000000" w:rsidRPr="00000000" w14:paraId="0000014F">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Merge w:val="restart"/>
            <w:vAlign w:val="center"/>
          </w:tcPr>
          <w:p w:rsidR="00000000" w:rsidDel="00000000" w:rsidP="00000000" w:rsidRDefault="00000000" w:rsidRPr="00000000" w14:paraId="00000150">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vMerge w:val="restart"/>
            <w:vAlign w:val="center"/>
          </w:tcPr>
          <w:p w:rsidR="00000000" w:rsidDel="00000000" w:rsidP="00000000" w:rsidRDefault="00000000" w:rsidRPr="00000000" w14:paraId="00000151">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52">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53">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4">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5">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6">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7">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8">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9">
            <w:pPr>
              <w:spacing w:line="276"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5A">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vMerge w:val="restart"/>
            <w:vAlign w:val="center"/>
          </w:tcPr>
          <w:p w:rsidR="00000000" w:rsidDel="00000000" w:rsidP="00000000" w:rsidRDefault="00000000" w:rsidRPr="00000000" w14:paraId="0000015B">
            <w:pPr>
              <w:spacing w:line="276" w:lineRule="auto"/>
              <w:jc w:val="center"/>
              <w:rPr>
                <w:rFonts w:ascii="Times New Roman" w:cs="Times New Roman" w:eastAsia="Times New Roman" w:hAnsi="Times New Roman"/>
                <w:sz w:val="24"/>
                <w:szCs w:val="24"/>
              </w:rPr>
            </w:pPr>
            <w:r w:rsidDel="00000000" w:rsidR="00000000" w:rsidRPr="00000000">
              <w:rPr>
                <w:rtl w:val="0"/>
              </w:rPr>
            </w:r>
          </w:p>
        </w:tc>
      </w:tr>
      <w:tr>
        <w:trPr>
          <w:cantSplit w:val="1"/>
          <w:trHeight w:val="480" w:hRule="atLeast"/>
          <w:tblHeader w:val="0"/>
        </w:trPr>
        <w:tc>
          <w:tcPr>
            <w:vMerge w:val="continue"/>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5F">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60">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1">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2">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3">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4">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5">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6">
            <w:pPr>
              <w:spacing w:line="276"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67">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1"/>
          <w:trHeight w:val="262" w:hRule="atLeast"/>
          <w:tblHeader w:val="0"/>
        </w:trPr>
        <w:tc>
          <w:tcPr>
            <w:vMerge w:val="continue"/>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6C">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6D">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E">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F">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0">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1">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2">
            <w:pPr>
              <w:spacing w:line="276"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3">
            <w:pPr>
              <w:spacing w:line="276"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74">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53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pageBreakBefore w:val="1"/>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Конкурс номинаций НТС проходит в два этапа:</w:t>
      </w:r>
    </w:p>
    <w:p w:rsidR="00000000" w:rsidDel="00000000" w:rsidP="00000000" w:rsidRDefault="00000000" w:rsidRPr="00000000" w14:paraId="0000017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w:t>
        <w:tab/>
        <w:t xml:space="preserve">этап: в учебных подразделениях  - (с 15 по 27 декабря 2022 года)</w:t>
      </w:r>
    </w:p>
    <w:p w:rsidR="00000000" w:rsidDel="00000000" w:rsidP="00000000" w:rsidRDefault="00000000" w:rsidRPr="00000000" w14:paraId="0000017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w:t>
        <w:tab/>
        <w:t xml:space="preserve">этап: общеуниверситетский - (с 16 по 18 января 2023 года)</w:t>
      </w:r>
    </w:p>
    <w:p w:rsidR="00000000" w:rsidDel="00000000" w:rsidP="00000000" w:rsidRDefault="00000000" w:rsidRPr="00000000" w14:paraId="0000017A">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B">
      <w:pPr>
        <w:spacing w:after="0" w:line="360" w:lineRule="auto"/>
        <w:ind w:firstLine="709"/>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Сбор конкурсных документов от подразделений осуществляется в срок до 29 декабря 2022 года на e-mail: </w:t>
      </w:r>
      <w:hyperlink r:id="rId8">
        <w:r w:rsidDel="00000000" w:rsidR="00000000" w:rsidRPr="00000000">
          <w:rPr>
            <w:rFonts w:ascii="Times New Roman" w:cs="Times New Roman" w:eastAsia="Times New Roman" w:hAnsi="Times New Roman"/>
            <w:color w:val="0563c1"/>
            <w:sz w:val="28"/>
            <w:szCs w:val="28"/>
            <w:u w:val="single"/>
            <w:rtl w:val="0"/>
          </w:rPr>
          <w:t xml:space="preserve">me.marine@mail.ru</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7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Оригиналы документов принимаются по адресу: АИЦ, ул. Кулаковского 46, каб.403А. </w:t>
      </w:r>
    </w:p>
    <w:p w:rsidR="00000000" w:rsidDel="00000000" w:rsidP="00000000" w:rsidRDefault="00000000" w:rsidRPr="00000000" w14:paraId="0000017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всем интересующим вопросам просьба связаться с секретарем НТС Осоровой Мариной Анатольевной, 89142896237. </w:t>
      </w:r>
    </w:p>
    <w:p w:rsidR="00000000" w:rsidDel="00000000" w:rsidP="00000000" w:rsidRDefault="00000000" w:rsidRPr="00000000" w14:paraId="0000017E">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7F">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КОНКУРСНУЮ КОМИССИЮ</w:t>
      </w:r>
    </w:p>
    <w:p w:rsidR="00000000" w:rsidDel="00000000" w:rsidP="00000000" w:rsidRDefault="00000000" w:rsidRPr="00000000" w14:paraId="00000180">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ВТОРОГО ЭТАПА НЕОБХОДИМО НАПРАВИТЬ </w:t>
      </w:r>
    </w:p>
    <w:p w:rsidR="00000000" w:rsidDel="00000000" w:rsidP="00000000" w:rsidRDefault="00000000" w:rsidRPr="00000000" w14:paraId="00000181">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СЛЕДУЮЩИЕ ДОКУМЕНТЫ:</w:t>
      </w:r>
    </w:p>
    <w:p w:rsidR="00000000" w:rsidDel="00000000" w:rsidP="00000000" w:rsidRDefault="00000000" w:rsidRPr="00000000" w14:paraId="00000182">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Выписка из протокола заседания конкурсной комиссии первого этапа (Приложение №3 Положения о конкурсе НТС СВФУ);</w:t>
      </w:r>
    </w:p>
    <w:p w:rsidR="00000000" w:rsidDel="00000000" w:rsidP="00000000" w:rsidRDefault="00000000" w:rsidRPr="00000000" w14:paraId="0000018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Сведения об авторе (Приложение №4 Положения о конкурсе НТС СВФУ);</w:t>
      </w:r>
    </w:p>
    <w:p w:rsidR="00000000" w:rsidDel="00000000" w:rsidP="00000000" w:rsidRDefault="00000000" w:rsidRPr="00000000" w14:paraId="0000018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Анкета по номинациям (Приложение №5 Положения о конкурсе НТС СВФУ);</w:t>
      </w:r>
    </w:p>
    <w:p w:rsidR="00000000" w:rsidDel="00000000" w:rsidP="00000000" w:rsidRDefault="00000000" w:rsidRPr="00000000" w14:paraId="0000018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Подтверждающие документы по номинациям.</w:t>
      </w:r>
    </w:p>
    <w:sectPr>
      <w:pgSz w:h="16838" w:w="11906" w:orient="portrait"/>
      <w:pgMar w:bottom="851"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b w:val="1"/>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
    <w:lvl w:ilvl="0">
      <w:start w:val="2"/>
      <w:numFmt w:val="decimal"/>
      <w:lvlText w:val="%1."/>
      <w:lvlJc w:val="left"/>
      <w:pPr>
        <w:ind w:left="450" w:hanging="450"/>
      </w:pPr>
      <w:rPr/>
    </w:lvl>
    <w:lvl w:ilvl="1">
      <w:start w:val="1"/>
      <w:numFmt w:val="decimal"/>
      <w:lvlText w:val="%1.%2."/>
      <w:lvlJc w:val="left"/>
      <w:pPr>
        <w:ind w:left="1430" w:hanging="720"/>
      </w:pPr>
      <w:rPr/>
    </w:lvl>
    <w:lvl w:ilvl="2">
      <w:start w:val="1"/>
      <w:numFmt w:val="decimal"/>
      <w:lvlText w:val="%1.%2.%3."/>
      <w:lvlJc w:val="left"/>
      <w:pPr>
        <w:ind w:left="2140" w:hanging="720"/>
      </w:pPr>
      <w:rPr/>
    </w:lvl>
    <w:lvl w:ilvl="3">
      <w:start w:val="1"/>
      <w:numFmt w:val="decimal"/>
      <w:lvlText w:val="%1.%2.%3.%4."/>
      <w:lvlJc w:val="left"/>
      <w:pPr>
        <w:ind w:left="3210" w:hanging="1080"/>
      </w:pPr>
      <w:rPr/>
    </w:lvl>
    <w:lvl w:ilvl="4">
      <w:start w:val="1"/>
      <w:numFmt w:val="decimal"/>
      <w:lvlText w:val="%1.%2.%3.%4.%5."/>
      <w:lvlJc w:val="left"/>
      <w:pPr>
        <w:ind w:left="3920" w:hanging="1080"/>
      </w:pPr>
      <w:rPr/>
    </w:lvl>
    <w:lvl w:ilvl="5">
      <w:start w:val="1"/>
      <w:numFmt w:val="decimal"/>
      <w:lvlText w:val="%1.%2.%3.%4.%5.%6."/>
      <w:lvlJc w:val="left"/>
      <w:pPr>
        <w:ind w:left="4990" w:hanging="1440"/>
      </w:pPr>
      <w:rPr/>
    </w:lvl>
    <w:lvl w:ilvl="6">
      <w:start w:val="1"/>
      <w:numFmt w:val="decimal"/>
      <w:lvlText w:val="%1.%2.%3.%4.%5.%6.%7."/>
      <w:lvlJc w:val="left"/>
      <w:pPr>
        <w:ind w:left="6060" w:hanging="1800"/>
      </w:pPr>
      <w:rPr/>
    </w:lvl>
    <w:lvl w:ilvl="7">
      <w:start w:val="1"/>
      <w:numFmt w:val="decimal"/>
      <w:lvlText w:val="%1.%2.%3.%4.%5.%6.%7.%8."/>
      <w:lvlJc w:val="left"/>
      <w:pPr>
        <w:ind w:left="6770" w:hanging="1800"/>
      </w:pPr>
      <w:rPr/>
    </w:lvl>
    <w:lvl w:ilvl="8">
      <w:start w:val="1"/>
      <w:numFmt w:val="decimal"/>
      <w:lvlText w:val="%1.%2.%3.%4.%5.%6.%7.%8.%9."/>
      <w:lvlJc w:val="left"/>
      <w:pPr>
        <w:ind w:left="7840" w:hanging="21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4B6CA3"/>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987BDC"/>
    <w:rPr>
      <w:color w:val="0563c1" w:themeColor="hyperlink"/>
      <w:u w:val="single"/>
    </w:rPr>
  </w:style>
  <w:style w:type="paragraph" w:styleId="a4">
    <w:name w:val="List Paragraph"/>
    <w:basedOn w:val="a"/>
    <w:uiPriority w:val="34"/>
    <w:qFormat w:val="1"/>
    <w:rsid w:val="00C2694A"/>
    <w:pPr>
      <w:ind w:left="720"/>
      <w:contextualSpacing w:val="1"/>
    </w:pPr>
  </w:style>
  <w:style w:type="table" w:styleId="a5">
    <w:name w:val="Table Grid"/>
    <w:basedOn w:val="a1"/>
    <w:uiPriority w:val="39"/>
    <w:rsid w:val="007F0E65"/>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6">
    <w:name w:val="Normal (Web)"/>
    <w:basedOn w:val="a"/>
    <w:rsid w:val="00455BE0"/>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e.marine@mail.ru" TargetMode="External"/><Relationship Id="rId8" Type="http://schemas.openxmlformats.org/officeDocument/2006/relationships/hyperlink" Target="mailto:me.marin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HAtQ6S8D7nAmp+FvXs0rY5pxyw==">AMUW2mUUAZMhRNkFdL+tRv7pHHH21Y86mSlEFg5YuJdGn4HEojp0K4OFhVVnGIncmM22QGnTGEroSJ5O6/fcHddgADnkTT2vPH4LUhkeVG0atFrg4/8pCLNQQ8E06LcBsaq8aWmNhkxQ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2022-12-15T01:55:00Z</dcterms:created>
  <dc:creator>Олег</dc:creator>
</cp:coreProperties>
</file>